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4" w:type="dxa"/>
        <w:tblInd w:w="-162" w:type="dxa"/>
        <w:tblLook w:val="01E0" w:firstRow="1" w:lastRow="1" w:firstColumn="1" w:lastColumn="1" w:noHBand="0" w:noVBand="0"/>
      </w:tblPr>
      <w:tblGrid>
        <w:gridCol w:w="4651"/>
        <w:gridCol w:w="6173"/>
      </w:tblGrid>
      <w:tr w:rsidR="00BD6DF7" w:rsidRPr="00117DF2" w:rsidTr="00776F21">
        <w:trPr>
          <w:trHeight w:val="1495"/>
        </w:trPr>
        <w:tc>
          <w:tcPr>
            <w:tcW w:w="4651" w:type="dxa"/>
          </w:tcPr>
          <w:p w:rsidR="00BD6DF7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</w:p>
          <w:p w:rsidR="00BD6DF7" w:rsidRPr="00776F21" w:rsidRDefault="00BD6DF7" w:rsidP="009C46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2"/>
                <w:szCs w:val="26"/>
              </w:rPr>
            </w:pPr>
          </w:p>
          <w:p w:rsidR="00BD6DF7" w:rsidRDefault="00BD6DF7" w:rsidP="00223D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:  </w:t>
            </w:r>
            <w:r w:rsidR="00223DA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515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/TB-CCTHADS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“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</w:t>
            </w:r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/v:</w:t>
            </w:r>
            <w:r w:rsidRPr="004752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bán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đấu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giá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tài</w:t>
            </w:r>
            <w:proofErr w:type="spellEnd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07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173" w:type="dxa"/>
          </w:tcPr>
          <w:p w:rsidR="00BD6DF7" w:rsidRDefault="00BD6DF7" w:rsidP="00064A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-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Yên</w:t>
            </w:r>
            <w:proofErr w:type="spellEnd"/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Phong</w:t>
            </w:r>
            <w:proofErr w:type="spellEnd"/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="002F762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64A3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64A3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11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24439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</w:tbl>
    <w:p w:rsidR="00BD6DF7" w:rsidRPr="00776F21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BD6DF7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1A5">
        <w:rPr>
          <w:rFonts w:ascii="Times New Roman" w:hAnsi="Times New Roman"/>
          <w:b/>
          <w:sz w:val="28"/>
          <w:szCs w:val="28"/>
        </w:rPr>
        <w:t>THÔNG BÁO</w:t>
      </w:r>
    </w:p>
    <w:p w:rsidR="00BD6DF7" w:rsidRPr="00243E02" w:rsidRDefault="00BD6DF7" w:rsidP="00BD6DF7">
      <w:pPr>
        <w:spacing w:before="120"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BD6DF7" w:rsidRPr="00243E02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28"/>
          <w:szCs w:val="28"/>
        </w:rPr>
      </w:pPr>
      <w:proofErr w:type="spellStart"/>
      <w:r w:rsidRPr="00243E02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3E02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43E02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bán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1140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4019">
        <w:rPr>
          <w:rFonts w:ascii="Times New Roman" w:hAnsi="Times New Roman"/>
          <w:b/>
          <w:sz w:val="28"/>
          <w:szCs w:val="28"/>
        </w:rPr>
        <w:t>nghiệp</w:t>
      </w:r>
      <w:proofErr w:type="spellEnd"/>
    </w:p>
    <w:p w:rsidR="00BD6DF7" w:rsidRPr="00512489" w:rsidRDefault="00BD6DF7" w:rsidP="00BD6DF7">
      <w:pPr>
        <w:spacing w:after="0" w:line="216" w:lineRule="auto"/>
        <w:ind w:firstLine="567"/>
        <w:rPr>
          <w:rFonts w:ascii="Times New Roman" w:hAnsi="Times New Roman"/>
          <w:b/>
          <w:sz w:val="14"/>
          <w:szCs w:val="28"/>
        </w:rPr>
      </w:pP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956">
        <w:rPr>
          <w:rFonts w:ascii="Times New Roman" w:hAnsi="Times New Roman"/>
          <w:sz w:val="28"/>
          <w:szCs w:val="28"/>
        </w:rPr>
        <w:t>Căn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cứ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xin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báo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chọn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như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sau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chỉ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>: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94956">
        <w:rPr>
          <w:rFonts w:ascii="Times New Roman" w:hAnsi="Times New Roman"/>
          <w:sz w:val="28"/>
          <w:szCs w:val="28"/>
        </w:rPr>
        <w:t xml:space="preserve"> </w:t>
      </w: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proofErr w:type="gram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6DF7" w:rsidRPr="003152AE" w:rsidRDefault="00BD6DF7" w:rsidP="00BD6DF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trấn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Chờ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thoại</w:t>
      </w:r>
      <w:proofErr w:type="spellEnd"/>
      <w:r w:rsidRPr="00315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2223860281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</w:p>
    <w:p w:rsidR="00AE7D95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Toàn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bộ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quyền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sử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dụng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đất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và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tài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sản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gắn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liền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với</w:t>
      </w:r>
      <w:proofErr w:type="spellEnd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E5ADD">
        <w:rPr>
          <w:rStyle w:val="Strong"/>
          <w:rFonts w:ascii="Times New Roman" w:hAnsi="Times New Roman"/>
          <w:b w:val="0"/>
          <w:sz w:val="28"/>
          <w:szCs w:val="28"/>
        </w:rPr>
        <w:t>đất</w:t>
      </w:r>
      <w:proofErr w:type="spellEnd"/>
      <w:r>
        <w:rPr>
          <w:rStyle w:val="Strong"/>
          <w:rFonts w:ascii="Times New Roman" w:hAnsi="Times New Roman"/>
          <w:b w:val="0"/>
          <w:sz w:val="28"/>
          <w:szCs w:val="28"/>
        </w:rPr>
        <w:t>:</w:t>
      </w:r>
      <w:r w:rsidRPr="008E5AD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Thửa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đất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số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184,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tờ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bản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đồ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20,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diện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tích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268 m</w:t>
      </w:r>
      <w:r w:rsidR="00064A3B" w:rsidRPr="00064A3B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tại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thôn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Đông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Mai,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xã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Trung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Nghĩa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huyện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Yên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Phong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tỉnh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Bắc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Ninh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đã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được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huyện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Yên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Phong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cấp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Giấy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chứng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nhận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quyền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sử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dụng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đất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quyền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sở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hữu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nhà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và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tài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sản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gắn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liền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với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đất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số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BU 768956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ngày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20/10/2014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cho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>
        <w:rPr>
          <w:rFonts w:ascii="Times New Roman" w:hAnsi="Times New Roman"/>
          <w:sz w:val="28"/>
          <w:szCs w:val="28"/>
        </w:rPr>
        <w:t>a</w:t>
      </w:r>
      <w:r w:rsidR="00064A3B" w:rsidRPr="00064A3B">
        <w:rPr>
          <w:rFonts w:ascii="Times New Roman" w:hAnsi="Times New Roman"/>
          <w:sz w:val="28"/>
          <w:szCs w:val="28"/>
        </w:rPr>
        <w:t>nh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Ngô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Văn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A3B" w:rsidRPr="00064A3B">
        <w:rPr>
          <w:rFonts w:ascii="Times New Roman" w:hAnsi="Times New Roman"/>
          <w:sz w:val="28"/>
          <w:szCs w:val="28"/>
        </w:rPr>
        <w:t>Hùng</w:t>
      </w:r>
      <w:proofErr w:type="spellEnd"/>
      <w:r w:rsidR="00064A3B" w:rsidRPr="00064A3B">
        <w:rPr>
          <w:rFonts w:ascii="Times New Roman" w:hAnsi="Times New Roman"/>
          <w:sz w:val="28"/>
          <w:szCs w:val="28"/>
        </w:rPr>
        <w:t>.</w:t>
      </w:r>
    </w:p>
    <w:bookmarkEnd w:id="0"/>
    <w:p w:rsidR="00BD6DF7" w:rsidRPr="0024439A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</w:rPr>
      </w:pPr>
      <w:r w:rsidRPr="000C616C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khởi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0C61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616C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8E5ADD">
        <w:rPr>
          <w:rFonts w:ascii="Times New Roman" w:hAnsi="Times New Roman"/>
          <w:sz w:val="28"/>
          <w:szCs w:val="28"/>
        </w:rPr>
        <w:t xml:space="preserve">: </w:t>
      </w:r>
      <w:r w:rsidR="00064A3B" w:rsidRPr="00064A3B">
        <w:rPr>
          <w:rFonts w:ascii="Times New Roman" w:hAnsi="Times New Roman"/>
          <w:sz w:val="28"/>
          <w:szCs w:val="28"/>
          <w:lang w:val="nl-NL"/>
        </w:rPr>
        <w:t>1.675.269.000đ (</w:t>
      </w:r>
      <w:r w:rsidR="00064A3B" w:rsidRPr="00064A3B">
        <w:rPr>
          <w:rFonts w:ascii="Times New Roman" w:hAnsi="Times New Roman"/>
          <w:i/>
          <w:sz w:val="28"/>
          <w:szCs w:val="28"/>
          <w:lang w:val="nl-NL"/>
        </w:rPr>
        <w:t>Một tỷ, sáu trăm bẩy mươi lăm triệu, hai trăm sáu mươi chín nghìn đồng</w:t>
      </w:r>
      <w:r w:rsidR="00064A3B" w:rsidRPr="00064A3B">
        <w:rPr>
          <w:rFonts w:ascii="Times New Roman" w:hAnsi="Times New Roman"/>
          <w:sz w:val="28"/>
          <w:szCs w:val="28"/>
          <w:lang w:val="nl-NL"/>
        </w:rPr>
        <w:t>).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lựa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chọn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phải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ứng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tiêu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định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khoản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694956">
        <w:rPr>
          <w:rFonts w:ascii="Times New Roman" w:hAnsi="Times New Roman"/>
          <w:sz w:val="28"/>
          <w:szCs w:val="28"/>
        </w:rPr>
        <w:t>Điều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56 </w:t>
      </w:r>
      <w:proofErr w:type="spellStart"/>
      <w:r w:rsidRPr="00694956">
        <w:rPr>
          <w:rFonts w:ascii="Times New Roman" w:hAnsi="Times New Roman"/>
          <w:sz w:val="28"/>
          <w:szCs w:val="28"/>
        </w:rPr>
        <w:t>Luật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2016, </w:t>
      </w:r>
      <w:proofErr w:type="spellStart"/>
      <w:r w:rsidRPr="00694956">
        <w:rPr>
          <w:rFonts w:ascii="Times New Roman" w:hAnsi="Times New Roman"/>
          <w:sz w:val="28"/>
          <w:szCs w:val="28"/>
        </w:rPr>
        <w:t>bao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gồm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: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sở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vật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chất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trang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bị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cần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thiết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bảo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đảm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cho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việc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đối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với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loại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Phương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khả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hiệu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quả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Năng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lực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956">
        <w:rPr>
          <w:rFonts w:ascii="Times New Roman" w:hAnsi="Times New Roman"/>
          <w:sz w:val="28"/>
          <w:szCs w:val="28"/>
        </w:rPr>
        <w:t>kinh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nghiệm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và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uy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tín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của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956">
        <w:rPr>
          <w:rFonts w:ascii="Times New Roman" w:hAnsi="Times New Roman"/>
          <w:sz w:val="28"/>
          <w:szCs w:val="28"/>
        </w:rPr>
        <w:t>lao</w:t>
      </w:r>
      <w:proofErr w:type="spellEnd"/>
      <w:proofErr w:type="gram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dịch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vụ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694956">
        <w:rPr>
          <w:rFonts w:ascii="Times New Roman" w:hAnsi="Times New Roman"/>
          <w:sz w:val="28"/>
          <w:szCs w:val="28"/>
        </w:rPr>
        <w:t>phí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phù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hợp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Có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tên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trong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danh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sách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các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tổ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chức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đấu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giá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tài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sản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694956">
        <w:rPr>
          <w:rFonts w:ascii="Times New Roman" w:hAnsi="Times New Roman"/>
          <w:sz w:val="28"/>
          <w:szCs w:val="28"/>
        </w:rPr>
        <w:t>Bộ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Tư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pháp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công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956">
        <w:rPr>
          <w:rFonts w:ascii="Times New Roman" w:hAnsi="Times New Roman"/>
          <w:sz w:val="28"/>
          <w:szCs w:val="28"/>
        </w:rPr>
        <w:t>bố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; 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6DF7" w:rsidRPr="0012395F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gia</w:t>
      </w:r>
      <w:r>
        <w:rPr>
          <w:rFonts w:ascii="Times New Roman" w:hAnsi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nộp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hồ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sơ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Pr="001239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395F">
        <w:rPr>
          <w:rFonts w:ascii="Times New Roman" w:hAnsi="Times New Roman"/>
          <w:b/>
          <w:sz w:val="28"/>
          <w:szCs w:val="28"/>
        </w:rPr>
        <w:t>ký</w:t>
      </w:r>
      <w:proofErr w:type="spellEnd"/>
    </w:p>
    <w:p w:rsidR="00BD6DF7" w:rsidRPr="00CB4A19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Thời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gian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: 03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kể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từ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ngày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đăng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thông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báo</w:t>
      </w:r>
      <w:proofErr w:type="spellEnd"/>
      <w:r w:rsidRPr="00CB4A19">
        <w:rPr>
          <w:rFonts w:ascii="Times New Roman" w:hAnsi="Times New Roman"/>
          <w:sz w:val="28"/>
          <w:szCs w:val="28"/>
        </w:rPr>
        <w:t>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4A19">
        <w:rPr>
          <w:rFonts w:ascii="Times New Roman" w:hAnsi="Times New Roman"/>
          <w:sz w:val="28"/>
          <w:szCs w:val="28"/>
        </w:rPr>
        <w:t>Địa</w:t>
      </w:r>
      <w:proofErr w:type="spellEnd"/>
      <w:r w:rsidRPr="00CB4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4A19">
        <w:rPr>
          <w:rFonts w:ascii="Times New Roman" w:hAnsi="Times New Roman"/>
          <w:sz w:val="28"/>
          <w:szCs w:val="28"/>
        </w:rPr>
        <w:t>điểm</w:t>
      </w:r>
      <w:proofErr w:type="spellEnd"/>
      <w:r w:rsidRPr="00CB4A1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 w:rsidRPr="006949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6949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6DF7" w:rsidRDefault="00BD6DF7" w:rsidP="00BD6DF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proofErr w:type="gramStart"/>
      <w:r w:rsidRPr="00694956">
        <w:rPr>
          <w:rFonts w:ascii="Times New Roman" w:hAnsi="Times New Roman"/>
          <w:sz w:val="28"/>
          <w:szCs w:val="28"/>
        </w:rPr>
        <w:t>./</w:t>
      </w:r>
      <w:proofErr w:type="gramEnd"/>
      <w:r w:rsidRPr="00694956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310"/>
      </w:tblGrid>
      <w:tr w:rsidR="00BD6DF7" w:rsidRPr="00117DF2" w:rsidTr="00776F21">
        <w:tc>
          <w:tcPr>
            <w:tcW w:w="5058" w:type="dxa"/>
            <w:shd w:val="clear" w:color="auto" w:fill="auto"/>
          </w:tcPr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Nơi</w:t>
            </w:r>
            <w:proofErr w:type="spellEnd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nhận</w:t>
            </w:r>
            <w:proofErr w:type="spellEnd"/>
            <w:r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: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Trang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Cục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THADS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tỉnh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Bắc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Ninh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điện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tử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cục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THADS; </w:t>
            </w:r>
          </w:p>
          <w:p w:rsidR="00BD6DF7" w:rsidRPr="00117DF2" w:rsidRDefault="00BD6DF7" w:rsidP="009C4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Cổng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thông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tin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quốc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gia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về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bán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đấu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giá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tài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sản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BD6DF7" w:rsidRPr="00776F21" w:rsidRDefault="00BD6DF7" w:rsidP="0077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117DF2">
              <w:rPr>
                <w:rFonts w:ascii="Times New Roman" w:hAnsi="Times New Roman"/>
                <w:sz w:val="24"/>
                <w:szCs w:val="28"/>
              </w:rPr>
              <w:t>Lưu</w:t>
            </w:r>
            <w:proofErr w:type="spellEnd"/>
            <w:r w:rsidRPr="00117DF2">
              <w:rPr>
                <w:rFonts w:ascii="Times New Roman" w:hAnsi="Times New Roman"/>
                <w:sz w:val="24"/>
                <w:szCs w:val="28"/>
              </w:rPr>
              <w:t>: VT, HSTH</w:t>
            </w:r>
            <w:r w:rsidR="00776F21">
              <w:rPr>
                <w:rFonts w:ascii="Times New Roman" w:hAnsi="Times New Roman"/>
                <w:sz w:val="24"/>
                <w:szCs w:val="28"/>
              </w:rPr>
              <w:t>ADS</w:t>
            </w:r>
          </w:p>
        </w:tc>
        <w:tc>
          <w:tcPr>
            <w:tcW w:w="5310" w:type="dxa"/>
            <w:shd w:val="clear" w:color="auto" w:fill="auto"/>
          </w:tcPr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17DF2">
              <w:rPr>
                <w:rFonts w:ascii="Times New Roman" w:hAnsi="Times New Roman"/>
                <w:b/>
                <w:sz w:val="26"/>
                <w:szCs w:val="28"/>
              </w:rPr>
              <w:t>CHẤP HÀNH VIÊN</w:t>
            </w:r>
          </w:p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Default="00223DA1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64A3B" w:rsidRPr="00117DF2" w:rsidRDefault="00064A3B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BD6DF7" w:rsidRPr="00117DF2" w:rsidRDefault="00BD6DF7" w:rsidP="009C468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7DF2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</w:p>
        </w:tc>
      </w:tr>
    </w:tbl>
    <w:p w:rsidR="00BD6DF7" w:rsidRDefault="00BD6DF7"/>
    <w:sectPr w:rsidR="00BD6DF7" w:rsidSect="00776F21">
      <w:pgSz w:w="12240" w:h="15840"/>
      <w:pgMar w:top="450" w:right="81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616C"/>
    <w:rsid w:val="00064A3B"/>
    <w:rsid w:val="000C616C"/>
    <w:rsid w:val="00223DA1"/>
    <w:rsid w:val="00230CBE"/>
    <w:rsid w:val="0024439A"/>
    <w:rsid w:val="002C79E4"/>
    <w:rsid w:val="002F7620"/>
    <w:rsid w:val="003B2E3B"/>
    <w:rsid w:val="00502762"/>
    <w:rsid w:val="0072187C"/>
    <w:rsid w:val="00776F21"/>
    <w:rsid w:val="00833BE8"/>
    <w:rsid w:val="00836A5B"/>
    <w:rsid w:val="009965B9"/>
    <w:rsid w:val="00A002CE"/>
    <w:rsid w:val="00AA6E3F"/>
    <w:rsid w:val="00AE7D95"/>
    <w:rsid w:val="00B134B2"/>
    <w:rsid w:val="00BD6DF7"/>
    <w:rsid w:val="00CF5442"/>
    <w:rsid w:val="00E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C61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1F83B-CCFA-4F10-BBC0-F847392006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9F276-3A9F-47B0-B7AA-9FCA64B64355}"/>
</file>

<file path=customXml/itemProps3.xml><?xml version="1.0" encoding="utf-8"?>
<ds:datastoreItem xmlns:ds="http://schemas.openxmlformats.org/officeDocument/2006/customXml" ds:itemID="{5FD5CE86-733E-4347-91BC-6194469180CB}"/>
</file>

<file path=customXml/itemProps4.xml><?xml version="1.0" encoding="utf-8"?>
<ds:datastoreItem xmlns:ds="http://schemas.openxmlformats.org/officeDocument/2006/customXml" ds:itemID="{A8FCD169-CE3F-4923-B628-EEAA1FA62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NOI</cp:lastModifiedBy>
  <cp:revision>15</cp:revision>
  <cp:lastPrinted>2022-10-31T07:00:00Z</cp:lastPrinted>
  <dcterms:created xsi:type="dcterms:W3CDTF">2021-05-20T02:39:00Z</dcterms:created>
  <dcterms:modified xsi:type="dcterms:W3CDTF">2022-11-01T04:23:00Z</dcterms:modified>
</cp:coreProperties>
</file>